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ANEXO IV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-23803</wp:posOffset>
                </wp:positionH>
                <wp:positionV relativeFrom="paragraph">
                  <wp:posOffset>-23803</wp:posOffset>
                </wp:positionV>
                <wp:extent cx="5553075" cy="259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0400" y="3674100"/>
                          <a:ext cx="5251200" cy="211800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-23803</wp:posOffset>
                </wp:positionH>
                <wp:positionV relativeFrom="paragraph">
                  <wp:posOffset>-23803</wp:posOffset>
                </wp:positionV>
                <wp:extent cx="5553075" cy="2592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3075" cy="25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ind w:left="0" w:right="-125.66929133858139" w:firstLine="0"/>
        <w:jc w:val="right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OPOSICIÓN AL ARBITRAJE</w:t>
      </w:r>
    </w:p>
    <w:p w:rsidR="00000000" w:rsidDel="00000000" w:rsidP="00000000" w:rsidRDefault="00000000" w:rsidRPr="00000000" w14:paraId="00000003">
      <w:pPr>
        <w:spacing w:after="0" w:line="360" w:lineRule="auto"/>
        <w:ind w:left="0" w:right="-125.66929133858139" w:firstLine="0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right="-125.66929133858139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A LA SECRETARÍA DEL CENTRO DE ARBITRAJE «ARBITRARE»: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DATOS DEL SOLICITANTE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 o Razón Social:______________________________________________</w:t>
      </w:r>
    </w:p>
    <w:p w:rsidR="00000000" w:rsidDel="00000000" w:rsidP="00000000" w:rsidRDefault="00000000" w:rsidRPr="00000000" w14:paraId="00000007">
      <w:pPr>
        <w:spacing w:after="0" w:before="0" w:line="360" w:lineRule="auto"/>
        <w:ind w:left="566.9291338582675" w:right="-125.6692913385813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Número de DNI o RUC: 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Representante: _____________________________________________________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566.9291338582675" w:right="-125.6692913385813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DNI Nro. ____________________, facultado según __________________________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566.9291338582675" w:right="-125.6692913385813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Domicilio Procesal:__________________________________________________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Teléfono / Celular:___________________________________________________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Correo Electrónico:__________________________________________________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EXPRESIÓN CONCRETA DE LO SOLICITADO</w:t>
      </w:r>
    </w:p>
    <w:p w:rsidR="00000000" w:rsidDel="00000000" w:rsidP="00000000" w:rsidRDefault="00000000" w:rsidRPr="00000000" w14:paraId="00000010">
      <w:pPr>
        <w:spacing w:after="0" w:before="200" w:line="360" w:lineRule="auto"/>
        <w:ind w:left="720" w:right="-125.6692913385813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Formulo OPOSICIÓN AL ARBITRAJE contra el Expediente Arbitral Nro. ______________ administrado por el Centro de Arbitraje «ARBITRARE» e iniciado mediante solicitud de arbitraje de fecha ________ de ________  de 20____ por ________________, de conformidad con el artículo 28 del Reglamento Procesal del Arbitraje, a razón de que: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existe un convenio arbitral celebrado entre las partes y no existe norma imperativa que establezca que la solución de controversias deba ser resuelta mediante arbitraje institucional en cualquier Centro.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Existe un convenio arbitral que determina inequívocamente a otro Centro de Arbitraje.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el caso de arbitrajes en materia de contrataciones públicas, Exclusión o suspensión del registro de Instituciones Arbitrales:  El centro de arbitraje ha sido excluido o suspendido.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FUNDAMENTOS DE HECHO O DE DERECHO QUE FUNDAMENTAN LA OPOSICIÓN</w:t>
      </w:r>
    </w:p>
    <w:p w:rsidR="00000000" w:rsidDel="00000000" w:rsidP="00000000" w:rsidRDefault="00000000" w:rsidRPr="00000000" w14:paraId="00000015">
      <w:pPr>
        <w:spacing w:after="200" w:before="200" w:line="360" w:lineRule="auto"/>
        <w:ind w:left="720" w:right="-125.66929133858139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ANEXOS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Comprobante de pago por concepto de tasa por presentación de oposición a la solicitud de arbitraje.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Copia del Documento Oficial de Identidad, copia de la Ficha RUC de la Persona Jurídica o copia del Contrato de Consorcio donde se designe representante común.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Copia del poder del representante, sea Testimonio de la Escritura Pública, Acta legalizada o, en su defecto, copia literal de la Vigencia de poder expedida por los Registros Públicos.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Copia del documento en que conste el convenio arbitral donde se designa otro Centro de Arbitraje y(o) otorga preferencia a otro Centro de Arbitraje.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Otros:________________________________________________________</w:t>
      </w:r>
    </w:p>
    <w:p w:rsidR="00000000" w:rsidDel="00000000" w:rsidP="00000000" w:rsidRDefault="00000000" w:rsidRPr="00000000" w14:paraId="0000001C">
      <w:pPr>
        <w:spacing w:after="200" w:before="200" w:line="360" w:lineRule="auto"/>
        <w:ind w:left="0" w:right="-125.6692913385813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presente solicitud de búsqueda se presenta de manera digital al correo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secretaria@arbitrareperu.com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spacing w:after="200" w:before="200" w:line="360" w:lineRule="auto"/>
        <w:ind w:left="0" w:right="-125.66929133858139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DECLARO SOMETERME A LOS REGLAMENTOS DEL CENTRO DE ARBITRAJE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«ARBITRARE»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EN RELACIÓN AL PRINCIPIO Y DEBER DE CONFIDENCIALIDAD.</w:t>
      </w:r>
    </w:p>
    <w:p w:rsidR="00000000" w:rsidDel="00000000" w:rsidP="00000000" w:rsidRDefault="00000000" w:rsidRPr="00000000" w14:paraId="0000001E">
      <w:pPr>
        <w:spacing w:after="200" w:before="200" w:line="360" w:lineRule="auto"/>
        <w:ind w:left="0" w:right="-125.66929133858139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___________, __________ de ___________ del 20 ___.</w:t>
      </w:r>
    </w:p>
    <w:p w:rsidR="00000000" w:rsidDel="00000000" w:rsidP="00000000" w:rsidRDefault="00000000" w:rsidRPr="00000000" w14:paraId="0000001F">
      <w:pPr>
        <w:spacing w:after="0" w:line="24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_________[Firma]___________</w:t>
      </w:r>
    </w:p>
    <w:sectPr>
      <w:headerReference r:id="rId9" w:type="default"/>
      <w:footerReference r:id="rId10" w:type="default"/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both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Al firmar y enviar este registro, el titular de los datos declara tener conocimiento, aceptar y consentir el tratamiento de sus datos personales de acuerdo con lo establecido en la Ley N° 29733 y su Reglamento así como la Política de Privacidad de ARBITRARE, la cual puede encontrar en el siguiente enlace:</w:t>
    </w:r>
    <w:hyperlink r:id="rId1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hyperlink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https://www.arbitrareperu.com/Politicas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76" w:lineRule="auto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pict>
        <v:shape id="WordPictureWatermark1" style="position:absolute;width:425.1755905511811pt;height:260.4499212598425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sdt>
    <w:sdtPr>
      <w:lock w:val="contentLocked"/>
      <w:id w:val="678486447"/>
      <w:tag w:val="goog_rdk_0"/>
    </w:sdtPr>
    <w:sdtContent>
      <w:tbl>
        <w:tblPr>
          <w:tblStyle w:val="Table1"/>
          <w:tblW w:w="858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15"/>
          <w:gridCol w:w="3585"/>
          <w:gridCol w:w="2880"/>
          <w:tblGridChange w:id="0">
            <w:tblGrid>
              <w:gridCol w:w="2115"/>
              <w:gridCol w:w="3585"/>
              <w:gridCol w:w="2880"/>
            </w:tblGrid>
          </w:tblGridChange>
        </w:tblGrid>
        <w:tr>
          <w:trPr>
            <w:cantSplit w:val="0"/>
            <w:trHeight w:val="40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5">
              <w:pPr>
                <w:spacing w:after="0" w:line="240" w:lineRule="auto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26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</w:rPr>
                <w:drawing>
                  <wp:inline distB="114300" distT="114300" distL="114300" distR="114300">
                    <wp:extent cx="1209675" cy="177800"/>
                    <wp:effectExtent b="0" l="0" r="0" t="0"/>
                    <wp:docPr id="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09675" cy="177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7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OPOSICIÓN AL ARBITRAJE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8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Código: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highlight w:val="white"/>
                  <w:rtl w:val="0"/>
                </w:rPr>
                <w:t xml:space="preserve">ARB-R-CA18</w:t>
              </w: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34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9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A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B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F. de aprobación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27/05/26</w:t>
              </w:r>
            </w:p>
          </w:tc>
        </w:tr>
        <w:tr>
          <w:trPr>
            <w:cantSplit w:val="0"/>
            <w:trHeight w:val="25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C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D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E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Versión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03</w:t>
              </w:r>
            </w:p>
          </w:tc>
        </w:tr>
      </w:tbl>
    </w:sdtContent>
  </w:sdt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Nunito" w:cs="Nunito" w:eastAsia="Nunito" w:hAnsi="Nunito"/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mailto:secretaria@arbitrareperu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rbitrareperu.com/Politicas" TargetMode="External"/><Relationship Id="rId2" Type="http://schemas.openxmlformats.org/officeDocument/2006/relationships/hyperlink" Target="https://www.arbitrareperu.com/Politica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Z5kj87MHU4qjTkJxaTGWAT5qw==">CgMxLjAaHgoBMBIZChcICVITChF0YWJsZS51OXE0a3o5bWFubDgAciExLVpNNHd1X25McUNHRWcwVU1zZ0ZHa3QwWVEzTElWd1M=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